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7"/>
        <w:keepNext/>
        <w:widowControl/>
        <w:spacing w:after="0"/>
        <w:contextualSpacing/>
        <w:jc w:val="center"/>
        <w:rPr>
          <w:b/>
          <w:color w:val="000000"/>
          <w:sz w:val="28"/>
        </w:rPr>
      </w:pPr>
      <w:r>
        <w:rPr>
          <w:rStyle w:val="44"/>
          <w:b/>
          <w:color w:val="000000"/>
          <w:sz w:val="28"/>
        </w:rPr>
        <w:t>Реестр</w:t>
      </w:r>
      <w:r>
        <w:rPr>
          <w:rStyle w:val="66"/>
          <w:b/>
          <w:color w:val="000000"/>
          <w:sz w:val="28"/>
        </w:rPr>
        <w:t> </w:t>
      </w:r>
      <w:r>
        <w:rPr>
          <w:b/>
          <w:color w:val="000000"/>
          <w:sz w:val="28"/>
        </w:rPr>
        <w:t xml:space="preserve">инвестиционных проектов, по которым принято решение Экспертной межведомственной инвестиционной комиссии Краснодарского края о присвоении (лишении) </w:t>
      </w:r>
    </w:p>
    <w:p>
      <w:pPr>
        <w:pStyle w:val="57"/>
        <w:keepNext/>
        <w:widowControl/>
        <w:spacing w:after="0"/>
        <w:contextualSpacing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статуса одобренного инвестиционного проекта</w:t>
      </w:r>
    </w:p>
    <w:p>
      <w:pPr>
        <w:pStyle w:val="37"/>
        <w:keepLines/>
        <w:widowControl/>
        <w:spacing w:before="0" w:after="0"/>
        <w:ind w:firstLine="709"/>
        <w:contextualSpacing/>
        <w:jc w:val="both"/>
        <w:rPr>
          <w:color w:val="000000"/>
          <w:sz w:val="28"/>
        </w:rPr>
      </w:pPr>
    </w:p>
    <w:tbl>
      <w:tblPr>
        <w:tblStyle w:val="2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694"/>
        <w:gridCol w:w="2268"/>
        <w:gridCol w:w="1559"/>
        <w:gridCol w:w="2268"/>
        <w:gridCol w:w="2693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п\п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инвестора, реализующего инвестиционный проект, по которому принято решение Экспертной межведомственной инвестиционной комиссии (далее – Комиссия) </w:t>
            </w:r>
          </w:p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 случае изменения наименования инвестора, реализующего одобренный инвестиционный проект, дополнительно указывается новое наименование с указанием даты изменения наименования)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инвестиционного проекта, по которому принято решение Комиссии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решения Комиссии (номер и дата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Вид(ы) заявленной(ых) к получению налоговой(ых) льготы (льгот), предусмотренной(ых) законодательством Краснодарского края о налогах и сборах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органа исполнительной власти Краснодарского края, на который в соответствии с требованиями законодательства Краснодарского края возложены функции по подготовке и заключению инвестиционного соглашения о реализации одобренного инвестиционного проекта (далее – Инвестиционное соглашение)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Инвестиционного соглашения (наименование, номер и дата). В случае внесения изменений в Инвестиционное соглашение в порядке, установленном высшим исполнительным органом государственной власти Краснодарского края, указываются реквизиты дополнительного соглашения к Инвестиционному соглашению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«Ромекс-Кубань Юг»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ТРК «Красная площадь» вторая очередь в г. Новороссийске»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 от 13.11.2017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 и применение пониженной ставки налога на прибыль организации в размере 13,5 процента, подлежащего зачислению в бюджет Краснодарского края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12.12.2017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«Инвестстрой»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«Многофункциональный рекреационно-ландшафтный комплекс на территории, прилегающей к ул. Восточно-Кругликовской в г. Краснодаре»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 от 13.11.2017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28.12.2017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«Тепличный комплекс «Зеленая линия»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«Центр по выращиванию грибов. 1 этап строительства. Краснодарский край, г. Краснодар, Карасунский округ, п. Дорожный»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 от 13.11.2017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28.12.2017 г. БН, дополнительное соглашение от 24.09.2018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«Новосити»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и эксплуатация гостиницы «Хилтон Гарден Инн Новороссийск»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2 от 21.12.2017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05.02.2018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«Производственно-деревообрабатывающий комплекс «Апшеронск»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«Реконструкция и развитие комплекса лесозаготовки и переработки древесины, организация выпуска плит МДФ, столярных и мебельных изделий из МДФ и древесины на базе производственных площадей ЗАО «ПДК «Апшеронск»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от 13.04.2018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</w:p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20.02.2015 г. № 9, расторгнуто на основании решения Комиссии № 39 от 24.08.2023 г. о лишении инвестиционного проекта статуса одобренного</w:t>
            </w:r>
          </w:p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«Черномортранснефть»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«ПК «Шесхарис». ПП «Грушовая». Строительство резервуаров РВС (П)-20000 м3. Резервуар № 15, 16, 17, 18»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от 13.04.2018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топливно-энергетического комплекса и жилищно-коммунального хозяйства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11.05.2018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«КЗ Гулькевичский»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«Увеличение мощности завода по переработке зерна кукурузы до 350 тонн в сутки и строительство цеха по производству мальтодекстрина 80 тонн в сутки на базе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ООО «КЗ Гулькевичский»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от 13.04.2018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29.05.2018 г. БН, дополнительное соглашение к инвестиционному соглашению от 16.06.2022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«ЕвроХим - Белореченские Минудобрения»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«Производство водорастворимых NPK со складом сырья и готовой продукции на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ООО «ЕвроХим-БМУ»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от 13.04.2018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03.05.2018 г. № 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«Обер Хутор»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«Развития горноклиматического курорта «Роза Хутор» (строительство дополнительных канатных дорог и сопутствующих инфраструктурных объектов)»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 от 13.04.2018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 и применение пониженной ставки налога на прибыль организаций в размере 13,5 процента, подлежащего зачислению в бюджет Краснодарского края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25.05.2018 г. № 34-и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«Ильский НПЗ»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«Реконструкция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ООО «Ильский НПЗ». Установка ЭЛОУ-АТ-6»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 от 09.07.2018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от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17.03.2016 г. № 10 о реализации инвестиционного проекта расторгнуто на основании решения Комиссии № 4 от 09.07.2018 г. о лишении инвестиционного проекта статуса одобренного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«Нестле Кубань»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«Расширение фабрики полного цикла по производству натурального растворимого кофе под торговой маркой Nescafe® в г. Тимашевске Краснодарского края»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5 от 16.08.2018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18.09.2018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«Русский лес»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«Гостиничный комплекс Four Points by Sheraton»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5 от 16.08.2018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от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12.11.2015 г. № 88 о реализации инвестиционного проекта расторгнуто на основании решения Комиссии № 5 от 16.08.2018 о лишении инвестиционного проекта статуса одобренного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«Русский лес»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«Гостиничный комплекс Four Points by Sheraton Краснодар»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6 от 27.09.2018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 и применение пониженной ставки налога на прибыль организаций в размере 13,5 процента, подлежащего зачислению в бюджет Краснодарского края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6.11.2018 г. № 36-и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НАО «Центр «Омега»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объекта «Трасса для проведения шоссейного-кольцевых автомобильных гонок серии «Формула-1» в Имеретинской низменности и объекты инфраструктуры, обеспечивающие ее функционирование», включенного в Программу строительства олимпийских объектов и развития города Сочи как горноклиматического курорта (утвержденную Постановлением Правительства Российской Федерации от 29 декабря 2007 года № 991), организация и проведение Гран При России Формулы 1 с 2014 по 2020 (включительно) календарные годы»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7 от 3.12.2018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от 29.12.2014 г. № 91 о реализации инвестиционного проекта расторгнуто на основании решения Комиссии № 7 от 3.12.2018 г. о лишении инвестиционного проекта статуса одобренного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ПАО «Пансионат с лечением «Приморье»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«Гостиничный комплекс «Приморье» на 126 мест с всесезонным бассейном»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7 от 03.12.2018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28.12.2018 г.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года № 42-И, дополнительное соглашение от 08.05.2019 г. № 48-И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Имение «Сикоры»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«Винодельня для производства элитного вина (расширение действующего производственного комплекса)»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7 от 03.12.2018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24.12.2018 г. БН, дополнительное соглашение от 20.01.2020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«Абинский ЭлектроМеталлургический завод»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метизного цеха I и II этапы строительства»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9 от 05.02.2019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15.02.2019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«Вимм-Билль-Данн»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«ЦЕХ ПО ПРОИЗВОДСТВУ ДЕТСКОГО ПИТАНИЯ В ГОРОДЕ ТИМАШЕВСК»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10 от 18.03.2019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24.04.2019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«Торговый комплекс»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торгового центра по адресу: г. Краснодар, ш. Ближний Западный Обход»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11 от 28.05.2019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«Строительство торгового центра по адресу: г. Краснодар, ш. Ближний Западный Обход» от 05.07.2019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«Геленджик Гольф Резорт»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«Гольф-клуб «Геленджик Гольф Резорт»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№22 от 24.05.2021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25.12.2019г. №58и расторгнуто на основании решения Комиссии № 22 от 24.05.2021 о лишении инвестиционного проекта статуса одобренного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«Шато де Талю»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«Винодельческое предприятие с дегустационным залом в городе Геленджике, Краснодарский край. Первый этап строительства. Второй этап строительства»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№14 от 02.12.2019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 и применение пониженной ставки налога на прибыль организаций в размере 13,5 процента, подлежащего зачислению в бюджет Краснодарского края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20.01.2020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«Тандер»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«Расширение производственных мощностей Тепличного комплекса «Зеленая линия» (Краснодарский край, Динской район, ст. Пластуновская, в границах СПК «Красная звезда»)»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№14 от 02.12.2019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20.01.2020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«Полидин»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«Завод по производству листов из поликарбоната (Производственное здание в северо-западной части по адресу: ст. Новотитаровской, Динского района, Краснодарского края)»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№14 от 02.12.2019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Дополнительное соглашение от 20.01.2020 г. к инвестиционному соглашению от 02.10.2015 г. № 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«ВОРОНЕЖСКИЙ ШАМПИНЬОН»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«Тепличный комплекс по выращиванию шампиньонов и производству компоста»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№14 от 02.12.2019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20.01.2020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«Абинский ЭлектроМеталлургический завод»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«Комплекс метизного цеха №2»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№15 от 14.01.2020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о реализации одобренного инвестиционного проекта от 25.02.2020 г. № 7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«ХАБ НОВОРОССИЙСК»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«Оптово-распределительный центр «Новороссийск (ХАБ)», расположенный по адресу: Краснодарский край, г. Новороссийск,</w:t>
            </w:r>
          </w:p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1-я ж/д петля»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№15 от 14.01.2020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проекта: «Оптово-распределительный центр «Новороссийск (ХАБ)», расположенный по адресу: Краснодарский край, г. Новороссийск,</w:t>
            </w:r>
          </w:p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1-я ж/д петля» от 10.02.2020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«Кеско-Краснодар»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и эксплуатация гостиницы «Хэмптон бай Хилтон Краснодар»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№16 от 27.05.2020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курортов, туризма и олимпийского наследия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06.07.2020 г. № 60и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«КНГК-ИНПЗ»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«Реконструкция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ООО «КНГК-ИНПЗ». Строительство установки первичной переработки нефти ЭЛОУ АТ-6 мощностью переработки нефти 3 млн. тонн в год»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№17 от 27.08.2020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топливно-энергетического комплекса и жилищно-коммунального хозяйства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22.09.2020 г. БН, дополнительное соглашение к инвестиционному соглашению от 05.10.2022 г. № 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«Скалистый берег»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«Винодельческое хозяйство на земельном участке по адресу: РФ, Краснодарский край, Анапский район,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п. Варваровка, полевые земли АО «Скалистый берег», кадастровый номер земельного участка 23:37:1006000:357»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№17 от 27.08.2020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22.09.2020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«ТЗПМ»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«Расширение мощностей по глубокой переработке растительных масел»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№19 от 19.11.2020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24.12.2020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«ОРЦ Новороссийск»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«Контейнерная площадка на территории оптово-распределительного центра «Новороссийск (ХАБ2)», расположенный по адресу: Краснодарский край, г. Новороссийск, 1-я ж/д петля.»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№20 от 23.12.2020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29.01.2021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«Абинский ЭлектроМеталлургический завод»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«Сортопрокатный цех производительностью 500 000 тонн в год»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№21 от 25.02.2021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02.04.2021</w:t>
            </w:r>
          </w:p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8, дополнительное соглашение к инвестиционному соглашению от 15.09.2022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«Сад-Гигант»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Хранилища для хранения и подработки различных плодов на 54,4 тыс. тонн»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№22 от 24.05.2021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28.06.2021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«Нестле Кубань»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«Реконструкция здания холодной сушки и ёмкости для воды фабрики полного цикла по производству натурального растворимого кофе под торговой маркой NESCAFE® в г. Тимашевске Краснодарского края»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№24 от 23.09.2021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27.10.2021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«Родина»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«Молочно-товарная ферма на 3000 фуражных коров в п. Кубанская Степь, Каневского р-на, Краснодарского края»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№25 от 1.12.2021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24.12.2021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«Новоросметалл»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«Реконструкция объектов ООО «Новоросметалл» в Комплекс прокатного стана мощностью 500 000 т/год по адресу: г. Новороссийск, с. Гайдук, ул. Труда, 9, со строительством автодороги, путепровода и электростанции 16,8 МВт»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№27 от 18.05.2022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27.06.2022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«Тепличный комплекс «Зеленая линия»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«Центр по выращиванию грибов. II этап строительства»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№28 от 11.08.2022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07.09.2022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«Торговый дом «Ясени»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свиноводческого селекционно-генетического центра»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№28 от 11.08.2022 г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 и применение пониженной ставки налога на прибыль организаций в размере 13,5 процента, подлежащего зачислению в бюджет Краснодарского края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07.09.2022 г. БН, дополнительное соглашение к инвестиционному соглашению от 05.05.2025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ООО «Логопарк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Раевская 2»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логопарка складской комплекс «Логопарк Раевская»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30 от 26.10.2022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 и применение пониженной ставки налога на прибыль организаций в размере 13,5 процента, подлежащего зачислению в бюджет Краснодарского края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07.12.2022 г. БН, дополнительное соглашение к инвестиционному соглашению от 29.12.2023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«НЛТ»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«Логистический почтовый центр в г. Краснодар»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30 от 26.10.2022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освобождение от уплаты налога на имущество организаций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07.12.2022 г. БН, дополнительное соглашение к инвестиционному соглашению от 04.06.2025 г. БН, расторгнут</w:t>
            </w:r>
            <w:r>
              <w:rPr>
                <w:rFonts w:ascii="Times New Roman" w:hAnsi="Times New Roman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sz w:val="24"/>
              </w:rPr>
              <w:t xml:space="preserve"> на основании решения Комиссии № 86 от 08.09.2026 г. о лишении инвестиционного проекта статуса одобренного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«ВОРОНЕЖСКИЙ ШАМПИНЬОН»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2-й очереди Тепличного комплекса по выращиванию шампиньонов и производству компоста»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32 от 06.12.2022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сельского хозяйства 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27.12.2022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«Черномортранснефть»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«ПК «Шесхарис». СИКН. Реконструкция.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2 этап»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37 от 06.07.2023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топливно-энергетического комплекса и жилищно-коммунального хозяйства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16.08.2023 г. БН, дополнительное соглашение к инвестиционному соглашению от 18.12.2024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АО «Черномортранснефть»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«ПК «Шесхарис». СИКН. Реконструкция.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3 этап»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37 от 06.07.2023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топливно-энергетического комплекса и жилищно-коммунального хозяйства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16.08.2023 г. БН, дополнительное соглашение к инвестиционному соглашению от 18.12.2024 г. БН, расторгнут</w:t>
            </w:r>
            <w:r>
              <w:rPr>
                <w:rFonts w:ascii="Times New Roman" w:hAnsi="Times New Roman"/>
                <w:sz w:val="24"/>
                <w:lang w:val="ru-RU"/>
              </w:rPr>
              <w:t>ы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 xml:space="preserve"> на основании решения Комиссии № 86 от 08.09.2026 г. о лишении инвестиционного проекта статуса одобренного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«Ренус Фрейт Логистикс»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«Складской комплекс класса «А» средств защиты растений и семян, на Земельном участке, расположенном по адресу: Россия, Краснодарский край, Брюховецкий муниципальный район, Брюховецкое сельское поселение, станица Брюховецкая, ул. Ленина, 144, кадастровый номер земельного участка 23:04:0501004:344»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38 от 01.08.2023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11.09.2023 г. БН, дополнительное соглашение к инвестиционному соглашению от 06.03.2025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«РЦ «Краснодарский»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Распределительного центра «Краснодарский»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39 от 24.08.2023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Инвестиционное соглашение о реализации одобренного инвестиционного проекта от 27.09.2023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ЛК «Дружелюбный»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складского комплекса, расположенного по адресу: Краснодарский край, г. Краснодар, СПХ «Капитал», северо-восточнее п. Индустриальный, кадастровый номер 23:43:0112035:686»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41 от 04.10.2023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07.11.2023 г. БН, дополнительное соглашение к инвестиционному соглашению от 10.12.2024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«ОРЦ Новороссийск 2»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«Производственно-складской комплекс для хранения продуктов питания «Новороссийск (ХАБ) 2-я очередь,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1 этап»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43 от 19.12.2023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освобождение от уплаты налога 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потребительской сферы и регулирования рынка алкоголя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26.01.2024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«Белая Дача Юг»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«Производственно-складской комплекс «Белая Дача Юг»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45 от 27.02.2024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освобождение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 xml:space="preserve">от уплаты налога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4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Министерство сельского хозяйства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26.03.2024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«ОРАС»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«Завод по производству профилей ПВХ»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46 от 03.04.2024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освобождение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 xml:space="preserve">от уплаты налога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промышленной политики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15.05.2024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АНО «Геленджик-2035»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«Строительство культурно-развлекательного центра на территории муниципального образования город-курорт Геленджик Краснодарского края»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48 от 22.05.2024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освобождение 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уплаты налога 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Министерство культуры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28.06.2024 г. БН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«Южный мясокомбинат»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«Реконструкция убойного пункта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с целью организации цеха по производству сухих кормов для непродуктивных животных»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57 от 01.11.2024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освобождение 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уплаты налога 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73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Министерство сельского хозяйства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 xml:space="preserve">о реализации одобренного инвестиционного проекта от 29.11.2024 г. БН, дополнительное соглашение к инвестиционному соглашению от  26.02.2026 г.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ООО «ЮЖНОЕ»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«Комплекс для хранения и переработки сельскохозяйственной продукции с последующей промышленной переработкой»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62 от 30.01.2025 г.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освобождение 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уплаты налога </w:t>
            </w:r>
          </w:p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имущество организаций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tabs>
                <w:tab w:val="left" w:pos="73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Министерство сельского хозяйства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и перерабатывающей промышленности Краснодарского края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Инвестиционное соглашение </w:t>
            </w:r>
            <w:r>
              <w:rPr>
                <w:rFonts w:ascii="Times New Roman" w:hAnsi="Times New Roman"/>
                <w:sz w:val="24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о реализации одобренного инвестиционного проекта от 24.02.2025 г. БН</w:t>
            </w:r>
          </w:p>
        </w:tc>
      </w:tr>
    </w:tbl>
    <w:p>
      <w:pPr>
        <w:widowControl/>
        <w:spacing w:after="0" w:line="240" w:lineRule="auto"/>
        <w:jc w:val="center"/>
        <w:rPr>
          <w:rFonts w:ascii="Times New Roman" w:hAnsi="Times New Roman"/>
          <w:sz w:val="24"/>
        </w:rPr>
      </w:pPr>
    </w:p>
    <w:sectPr>
      <w:headerReference r:id="rId5" w:type="default"/>
      <w:pgSz w:w="16838" w:h="11906" w:orient="landscape"/>
      <w:pgMar w:top="567" w:right="1134" w:bottom="851" w:left="1134" w:header="709" w:footer="709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Arial Unicode MS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imSun">
    <w:altName w:val="Arial Unicode MS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widowControl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FBE8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paragraph" w:styleId="2">
    <w:name w:val="heading 1"/>
    <w:basedOn w:val="1"/>
    <w:next w:val="1"/>
    <w:qFormat/>
    <w:uiPriority w:val="9"/>
    <w:pPr>
      <w:widowControl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3">
    <w:name w:val="heading 2"/>
    <w:basedOn w:val="2"/>
    <w:next w:val="1"/>
    <w:qFormat/>
    <w:uiPriority w:val="9"/>
    <w:pPr>
      <w:widowControl w:val="0"/>
      <w:outlineLvl w:val="1"/>
    </w:pPr>
  </w:style>
  <w:style w:type="paragraph" w:styleId="4">
    <w:name w:val="heading 3"/>
    <w:basedOn w:val="3"/>
    <w:next w:val="1"/>
    <w:qFormat/>
    <w:uiPriority w:val="9"/>
    <w:pPr>
      <w:widowControl/>
      <w:outlineLvl w:val="2"/>
    </w:pPr>
  </w:style>
  <w:style w:type="paragraph" w:styleId="5">
    <w:name w:val="heading 4"/>
    <w:basedOn w:val="4"/>
    <w:next w:val="1"/>
    <w:qFormat/>
    <w:uiPriority w:val="9"/>
    <w:pPr>
      <w:widowControl/>
      <w:outlineLvl w:val="3"/>
    </w:pPr>
  </w:style>
  <w:style w:type="paragraph" w:styleId="6">
    <w:name w:val="heading 5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Balloon Text"/>
    <w:basedOn w:val="1"/>
    <w:qFormat/>
    <w:uiPriority w:val="0"/>
    <w:pPr>
      <w:widowControl/>
      <w:spacing w:after="0" w:line="240" w:lineRule="auto"/>
    </w:pPr>
    <w:rPr>
      <w:rFonts w:ascii="Tahoma" w:hAnsi="Tahoma"/>
      <w:sz w:val="16"/>
    </w:rPr>
  </w:style>
  <w:style w:type="paragraph" w:styleId="11">
    <w:name w:val="toc 8"/>
    <w:next w:val="1"/>
    <w:qFormat/>
    <w:uiPriority w:val="39"/>
    <w:pPr>
      <w:widowControl/>
      <w:spacing w:before="0" w:after="0" w:line="240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2">
    <w:name w:val="header"/>
    <w:basedOn w:val="1"/>
    <w:qFormat/>
    <w:uiPriority w:val="0"/>
    <w:pPr>
      <w:widowControl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paragraph" w:styleId="13">
    <w:name w:val="toc 9"/>
    <w:next w:val="1"/>
    <w:qFormat/>
    <w:uiPriority w:val="39"/>
    <w:pPr>
      <w:widowControl/>
      <w:spacing w:before="0" w:after="0" w:line="240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4">
    <w:name w:val="toc 7"/>
    <w:next w:val="1"/>
    <w:qFormat/>
    <w:uiPriority w:val="39"/>
    <w:pPr>
      <w:widowControl/>
      <w:spacing w:before="0" w:after="0" w:line="240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5">
    <w:name w:val="toc 1"/>
    <w:next w:val="1"/>
    <w:qFormat/>
    <w:uiPriority w:val="39"/>
    <w:pPr>
      <w:widowControl/>
      <w:spacing w:before="0" w:after="0" w:line="240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6">
    <w:name w:val="toc 6"/>
    <w:next w:val="1"/>
    <w:qFormat/>
    <w:uiPriority w:val="39"/>
    <w:pPr>
      <w:widowControl/>
      <w:spacing w:before="0" w:after="0" w:line="240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3"/>
    <w:next w:val="1"/>
    <w:qFormat/>
    <w:uiPriority w:val="39"/>
    <w:pPr>
      <w:widowControl/>
      <w:spacing w:before="0" w:after="0" w:line="240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2"/>
    <w:next w:val="1"/>
    <w:qFormat/>
    <w:uiPriority w:val="39"/>
    <w:pPr>
      <w:widowControl/>
      <w:spacing w:before="0" w:after="0" w:line="240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oc 4"/>
    <w:next w:val="1"/>
    <w:qFormat/>
    <w:uiPriority w:val="39"/>
    <w:pPr>
      <w:widowControl/>
      <w:spacing w:before="0" w:after="0" w:line="240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oc 5"/>
    <w:next w:val="1"/>
    <w:qFormat/>
    <w:uiPriority w:val="39"/>
    <w:pPr>
      <w:widowControl/>
      <w:spacing w:before="0" w:after="0" w:line="240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1">
    <w:name w:val="Title"/>
    <w:next w:val="1"/>
    <w:qFormat/>
    <w:uiPriority w:val="10"/>
    <w:pPr>
      <w:widowControl/>
      <w:spacing w:before="567" w:after="567" w:line="240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2">
    <w:name w:val="footer"/>
    <w:basedOn w:val="1"/>
    <w:qFormat/>
    <w:uiPriority w:val="0"/>
    <w:pPr>
      <w:widowControl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paragraph" w:styleId="23">
    <w:name w:val="Subtitle"/>
    <w:next w:val="1"/>
    <w:qFormat/>
    <w:uiPriority w:val="11"/>
    <w:pPr>
      <w:widowControl/>
      <w:spacing w:before="0" w:after="0" w:line="240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table" w:styleId="24">
    <w:name w:val="Table Grid"/>
    <w:basedOn w:val="8"/>
    <w:qFormat/>
    <w:uiPriority w:val="0"/>
    <w:pPr>
      <w:widowControl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Примечание."/>
    <w:basedOn w:val="26"/>
    <w:next w:val="1"/>
    <w:link w:val="27"/>
    <w:qFormat/>
    <w:uiPriority w:val="0"/>
  </w:style>
  <w:style w:type="paragraph" w:customStyle="1" w:styleId="26">
    <w:name w:val="Внимание"/>
    <w:basedOn w:val="1"/>
    <w:next w:val="1"/>
    <w:link w:val="28"/>
    <w:qFormat/>
    <w:uiPriority w:val="0"/>
    <w:pPr>
      <w:widowControl w:val="0"/>
      <w:spacing w:before="240" w:after="240" w:line="240" w:lineRule="auto"/>
      <w:ind w:left="420" w:right="420" w:firstLine="300"/>
      <w:jc w:val="both"/>
    </w:pPr>
    <w:rPr>
      <w:rFonts w:ascii="Arial" w:hAnsi="Arial"/>
      <w:sz w:val="24"/>
      <w:shd w:val="clear" w:fill="F5F3DA"/>
    </w:rPr>
  </w:style>
  <w:style w:type="character" w:customStyle="1" w:styleId="27">
    <w:name w:val="Примечание.1"/>
    <w:basedOn w:val="28"/>
    <w:link w:val="25"/>
    <w:qFormat/>
    <w:uiPriority w:val="0"/>
  </w:style>
  <w:style w:type="character" w:customStyle="1" w:styleId="28">
    <w:name w:val="Внимание1"/>
    <w:link w:val="26"/>
    <w:qFormat/>
    <w:uiPriority w:val="0"/>
    <w:rPr>
      <w:rFonts w:ascii="Arial" w:hAnsi="Arial"/>
      <w:sz w:val="24"/>
      <w:shd w:val="clear" w:fill="F5F3DA"/>
    </w:rPr>
  </w:style>
  <w:style w:type="paragraph" w:customStyle="1" w:styleId="29">
    <w:name w:val="Endnote"/>
    <w:link w:val="30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30">
    <w:name w:val="Endnote1"/>
    <w:link w:val="29"/>
    <w:qFormat/>
    <w:uiPriority w:val="0"/>
    <w:rPr>
      <w:rFonts w:ascii="XO Thames" w:hAnsi="XO Thames"/>
      <w:sz w:val="22"/>
    </w:rPr>
  </w:style>
  <w:style w:type="paragraph" w:customStyle="1" w:styleId="31">
    <w:name w:val="Прижатый влево"/>
    <w:basedOn w:val="1"/>
    <w:next w:val="1"/>
    <w:link w:val="32"/>
    <w:qFormat/>
    <w:uiPriority w:val="0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32">
    <w:name w:val="Прижатый влево1"/>
    <w:link w:val="31"/>
    <w:qFormat/>
    <w:uiPriority w:val="0"/>
    <w:rPr>
      <w:rFonts w:ascii="Arial" w:hAnsi="Arial"/>
      <w:sz w:val="24"/>
    </w:rPr>
  </w:style>
  <w:style w:type="paragraph" w:customStyle="1" w:styleId="33">
    <w:name w:val="Пример."/>
    <w:basedOn w:val="26"/>
    <w:next w:val="1"/>
    <w:link w:val="34"/>
    <w:qFormat/>
    <w:uiPriority w:val="0"/>
  </w:style>
  <w:style w:type="character" w:customStyle="1" w:styleId="34">
    <w:name w:val="Пример.1"/>
    <w:basedOn w:val="28"/>
    <w:link w:val="33"/>
    <w:qFormat/>
    <w:uiPriority w:val="0"/>
  </w:style>
  <w:style w:type="paragraph" w:customStyle="1" w:styleId="35">
    <w:name w:val="Внимание: недобросовестность!"/>
    <w:basedOn w:val="26"/>
    <w:next w:val="1"/>
    <w:link w:val="36"/>
    <w:qFormat/>
    <w:uiPriority w:val="0"/>
  </w:style>
  <w:style w:type="character" w:customStyle="1" w:styleId="36">
    <w:name w:val="Внимание: недобросовестность!1"/>
    <w:basedOn w:val="28"/>
    <w:link w:val="35"/>
    <w:qFormat/>
    <w:uiPriority w:val="0"/>
  </w:style>
  <w:style w:type="paragraph" w:customStyle="1" w:styleId="37">
    <w:name w:val="formattext"/>
    <w:basedOn w:val="1"/>
    <w:link w:val="38"/>
    <w:qFormat/>
    <w:uiPriority w:val="0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8">
    <w:name w:val="formattext1"/>
    <w:link w:val="37"/>
    <w:qFormat/>
    <w:uiPriority w:val="0"/>
    <w:rPr>
      <w:rFonts w:ascii="Times New Roman" w:hAnsi="Times New Roman"/>
      <w:sz w:val="24"/>
    </w:rPr>
  </w:style>
  <w:style w:type="paragraph" w:customStyle="1" w:styleId="39">
    <w:name w:val="Гипертекстовая ссылка"/>
    <w:link w:val="40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/>
      <w:color w:val="106BBE"/>
      <w:spacing w:val="0"/>
      <w:sz w:val="20"/>
    </w:rPr>
  </w:style>
  <w:style w:type="character" w:customStyle="1" w:styleId="40">
    <w:name w:val="Гипертекстовая ссылка1"/>
    <w:link w:val="39"/>
    <w:qFormat/>
    <w:uiPriority w:val="0"/>
    <w:rPr>
      <w:color w:val="106BBE"/>
    </w:rPr>
  </w:style>
  <w:style w:type="paragraph" w:customStyle="1" w:styleId="41">
    <w:name w:val="Таблицы (моноширинный)"/>
    <w:basedOn w:val="1"/>
    <w:next w:val="1"/>
    <w:link w:val="42"/>
    <w:qFormat/>
    <w:uiPriority w:val="0"/>
    <w:pPr>
      <w:widowControl w:val="0"/>
      <w:spacing w:after="0" w:line="240" w:lineRule="auto"/>
    </w:pPr>
    <w:rPr>
      <w:rFonts w:ascii="Courier New" w:hAnsi="Courier New"/>
      <w:sz w:val="24"/>
    </w:rPr>
  </w:style>
  <w:style w:type="character" w:customStyle="1" w:styleId="42">
    <w:name w:val="Таблицы (моноширинный)1"/>
    <w:link w:val="41"/>
    <w:qFormat/>
    <w:uiPriority w:val="0"/>
    <w:rPr>
      <w:rFonts w:ascii="Courier New" w:hAnsi="Courier New"/>
      <w:sz w:val="24"/>
    </w:rPr>
  </w:style>
  <w:style w:type="paragraph" w:customStyle="1" w:styleId="43">
    <w:name w:val="match"/>
    <w:link w:val="4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/>
      <w:color w:val="000000"/>
      <w:spacing w:val="0"/>
      <w:sz w:val="20"/>
    </w:rPr>
  </w:style>
  <w:style w:type="character" w:customStyle="1" w:styleId="44">
    <w:name w:val="match1"/>
    <w:basedOn w:val="7"/>
    <w:link w:val="43"/>
    <w:qFormat/>
    <w:uiPriority w:val="0"/>
  </w:style>
  <w:style w:type="paragraph" w:customStyle="1" w:styleId="45">
    <w:name w:val="Внимание: криминал!!"/>
    <w:basedOn w:val="26"/>
    <w:next w:val="1"/>
    <w:link w:val="46"/>
    <w:qFormat/>
    <w:uiPriority w:val="0"/>
  </w:style>
  <w:style w:type="character" w:customStyle="1" w:styleId="46">
    <w:name w:val="Внимание: криминал!!1"/>
    <w:basedOn w:val="28"/>
    <w:link w:val="45"/>
    <w:qFormat/>
    <w:uiPriority w:val="0"/>
  </w:style>
  <w:style w:type="paragraph" w:customStyle="1" w:styleId="47">
    <w:name w:val="Колонтитул (левый)"/>
    <w:basedOn w:val="48"/>
    <w:next w:val="1"/>
    <w:link w:val="49"/>
    <w:qFormat/>
    <w:uiPriority w:val="0"/>
  </w:style>
  <w:style w:type="paragraph" w:customStyle="1" w:styleId="48">
    <w:name w:val="Текст (лев. подпись)"/>
    <w:basedOn w:val="1"/>
    <w:next w:val="1"/>
    <w:link w:val="50"/>
    <w:qFormat/>
    <w:uiPriority w:val="0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49">
    <w:name w:val="Колонтитул (левый)1"/>
    <w:basedOn w:val="50"/>
    <w:link w:val="47"/>
    <w:qFormat/>
    <w:uiPriority w:val="0"/>
  </w:style>
  <w:style w:type="character" w:customStyle="1" w:styleId="50">
    <w:name w:val="Текст (лев. подпись)1"/>
    <w:link w:val="48"/>
    <w:qFormat/>
    <w:uiPriority w:val="0"/>
    <w:rPr>
      <w:rFonts w:ascii="Arial" w:hAnsi="Arial"/>
      <w:sz w:val="24"/>
    </w:rPr>
  </w:style>
  <w:style w:type="paragraph" w:customStyle="1" w:styleId="51">
    <w:name w:val="Footnote"/>
    <w:link w:val="52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52">
    <w:name w:val="Footnote1"/>
    <w:link w:val="51"/>
    <w:qFormat/>
    <w:uiPriority w:val="0"/>
    <w:rPr>
      <w:rFonts w:ascii="XO Thames" w:hAnsi="XO Thames"/>
      <w:sz w:val="22"/>
    </w:rPr>
  </w:style>
  <w:style w:type="paragraph" w:customStyle="1" w:styleId="53">
    <w:name w:val="Header and Footer"/>
    <w:link w:val="54"/>
    <w:qFormat/>
    <w:uiPriority w:val="0"/>
    <w:pPr>
      <w:widowControl/>
      <w:spacing w:before="0" w:after="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</w:rPr>
  </w:style>
  <w:style w:type="character" w:customStyle="1" w:styleId="54">
    <w:name w:val="Header and Footer1"/>
    <w:link w:val="53"/>
    <w:qFormat/>
    <w:uiPriority w:val="0"/>
    <w:rPr>
      <w:rFonts w:ascii="XO Thames" w:hAnsi="XO Thames"/>
      <w:sz w:val="28"/>
    </w:rPr>
  </w:style>
  <w:style w:type="paragraph" w:customStyle="1" w:styleId="55">
    <w:name w:val="Основное меню (преемственное)"/>
    <w:basedOn w:val="1"/>
    <w:next w:val="1"/>
    <w:link w:val="56"/>
    <w:qFormat/>
    <w:uiPriority w:val="0"/>
    <w:pPr>
      <w:widowControl w:val="0"/>
      <w:spacing w:after="0" w:line="240" w:lineRule="auto"/>
      <w:ind w:firstLine="720"/>
      <w:jc w:val="both"/>
    </w:pPr>
    <w:rPr>
      <w:rFonts w:ascii="Verdana" w:hAnsi="Verdana"/>
    </w:rPr>
  </w:style>
  <w:style w:type="character" w:customStyle="1" w:styleId="56">
    <w:name w:val="Основное меню (преемственное)1"/>
    <w:link w:val="55"/>
    <w:qFormat/>
    <w:uiPriority w:val="0"/>
    <w:rPr>
      <w:rFonts w:ascii="Verdana" w:hAnsi="Verdana"/>
    </w:rPr>
  </w:style>
  <w:style w:type="paragraph" w:customStyle="1" w:styleId="57">
    <w:name w:val="headertext"/>
    <w:basedOn w:val="1"/>
    <w:link w:val="58"/>
    <w:qFormat/>
    <w:uiPriority w:val="0"/>
    <w:pPr>
      <w:widowControl/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8">
    <w:name w:val="headertext1"/>
    <w:link w:val="57"/>
    <w:qFormat/>
    <w:uiPriority w:val="0"/>
    <w:rPr>
      <w:rFonts w:ascii="Times New Roman" w:hAnsi="Times New Roman"/>
      <w:sz w:val="24"/>
    </w:rPr>
  </w:style>
  <w:style w:type="paragraph" w:customStyle="1" w:styleId="59">
    <w:name w:val="Куда обратиться?"/>
    <w:basedOn w:val="26"/>
    <w:next w:val="1"/>
    <w:link w:val="60"/>
    <w:qFormat/>
    <w:uiPriority w:val="0"/>
  </w:style>
  <w:style w:type="character" w:customStyle="1" w:styleId="60">
    <w:name w:val="Куда обратиться?1"/>
    <w:basedOn w:val="28"/>
    <w:link w:val="59"/>
    <w:qFormat/>
    <w:uiPriority w:val="0"/>
  </w:style>
  <w:style w:type="paragraph" w:customStyle="1" w:styleId="61">
    <w:name w:val="Заголовок"/>
    <w:basedOn w:val="55"/>
    <w:next w:val="1"/>
    <w:link w:val="62"/>
    <w:qFormat/>
    <w:uiPriority w:val="0"/>
    <w:rPr>
      <w:b/>
      <w:color w:val="0058A9"/>
      <w:shd w:val="clear" w:fill="F0F0F0"/>
    </w:rPr>
  </w:style>
  <w:style w:type="character" w:customStyle="1" w:styleId="62">
    <w:name w:val="Заголовок1"/>
    <w:basedOn w:val="56"/>
    <w:link w:val="61"/>
    <w:qFormat/>
    <w:uiPriority w:val="0"/>
    <w:rPr>
      <w:b/>
      <w:color w:val="0058A9"/>
      <w:shd w:val="clear" w:fill="F0F0F0"/>
    </w:rPr>
  </w:style>
  <w:style w:type="paragraph" w:customStyle="1" w:styleId="63">
    <w:name w:val="Цветовое выделение"/>
    <w:link w:val="64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/>
      <w:b/>
      <w:color w:val="26282F"/>
      <w:spacing w:val="0"/>
      <w:sz w:val="20"/>
    </w:rPr>
  </w:style>
  <w:style w:type="character" w:customStyle="1" w:styleId="64">
    <w:name w:val="Цветовое выделение1"/>
    <w:link w:val="63"/>
    <w:qFormat/>
    <w:uiPriority w:val="0"/>
    <w:rPr>
      <w:b/>
      <w:color w:val="26282F"/>
    </w:rPr>
  </w:style>
  <w:style w:type="paragraph" w:customStyle="1" w:styleId="65">
    <w:name w:val="apple-converted-space"/>
    <w:link w:val="66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/>
      <w:color w:val="000000"/>
      <w:spacing w:val="0"/>
      <w:sz w:val="20"/>
    </w:rPr>
  </w:style>
  <w:style w:type="character" w:customStyle="1" w:styleId="66">
    <w:name w:val="apple-converted-space1"/>
    <w:basedOn w:val="7"/>
    <w:link w:val="65"/>
    <w:qFormat/>
    <w:uiPriority w:val="0"/>
  </w:style>
  <w:style w:type="paragraph" w:customStyle="1" w:styleId="67">
    <w:name w:val="Необходимые документы"/>
    <w:basedOn w:val="26"/>
    <w:next w:val="1"/>
    <w:link w:val="68"/>
    <w:qFormat/>
    <w:uiPriority w:val="0"/>
  </w:style>
  <w:style w:type="character" w:customStyle="1" w:styleId="68">
    <w:name w:val="Необходимые документы1"/>
    <w:basedOn w:val="28"/>
    <w:link w:val="67"/>
    <w:qFormat/>
    <w:uiPriority w:val="0"/>
  </w:style>
  <w:style w:type="paragraph" w:customStyle="1" w:styleId="69">
    <w:name w:val="Оглавление"/>
    <w:basedOn w:val="41"/>
    <w:next w:val="1"/>
    <w:link w:val="70"/>
    <w:qFormat/>
    <w:uiPriority w:val="0"/>
  </w:style>
  <w:style w:type="character" w:customStyle="1" w:styleId="70">
    <w:name w:val="Оглавление1"/>
    <w:basedOn w:val="42"/>
    <w:link w:val="69"/>
    <w:qFormat/>
    <w:uiPriority w:val="0"/>
  </w:style>
  <w:style w:type="paragraph" w:customStyle="1" w:styleId="71">
    <w:name w:val="Нормальный (таблица)"/>
    <w:basedOn w:val="1"/>
    <w:next w:val="1"/>
    <w:link w:val="72"/>
    <w:qFormat/>
    <w:uiPriority w:val="0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72">
    <w:name w:val="Нормальный (таблица)1"/>
    <w:link w:val="71"/>
    <w:qFormat/>
    <w:uiPriority w:val="0"/>
    <w:rPr>
      <w:rFonts w:ascii="Arial" w:hAnsi="Arial"/>
      <w:sz w:val="24"/>
    </w:rPr>
  </w:style>
  <w:style w:type="paragraph" w:customStyle="1" w:styleId="73">
    <w:name w:val="Интерактивный заголовок"/>
    <w:basedOn w:val="61"/>
    <w:next w:val="1"/>
    <w:link w:val="74"/>
    <w:qFormat/>
    <w:uiPriority w:val="0"/>
  </w:style>
  <w:style w:type="character" w:customStyle="1" w:styleId="74">
    <w:name w:val="Интерактивный заголовок1"/>
    <w:basedOn w:val="62"/>
    <w:link w:val="7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2025-07-08T21:31:00Z</dcterms:created>
  <dc:creator>n.a.varfolomeeva</dc:creator>
  <cp:lastModifiedBy>n.a.varfolomeeva</cp:lastModifiedBy>
  <dcterms:modified xsi:type="dcterms:W3CDTF">2026-10-12T09:47:10Z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